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大厂回族自治县交通系统</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大厂回族自治县交通系统</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华文细黑" w:hAnsi="华文细黑" w:eastAsia="华文细黑" w:cs="仿宋_GB2312"/>
          <w:szCs w:val="32"/>
          <w:lang w:eastAsia="zh-CN"/>
        </w:rPr>
      </w:pPr>
      <w:r>
        <w:rPr>
          <w:rFonts w:hint="eastAsia" w:ascii="仿宋_GB2312" w:hAnsi="华文细黑" w:eastAsia="仿宋_GB2312" w:cs="仿宋_GB2312"/>
          <w:szCs w:val="32"/>
          <w:lang w:eastAsia="zh-CN"/>
        </w:rPr>
        <w:t>大厂回族自治县交通系统是县政府主管全县公路交通工作的职能部门，具有行政执法、行业管理、社会服务三重职能。负责县域道路的规划、建设、养护和管理；依法维护县域路产路权及超限超载运输车辆的治理；负责辖区内客运、货运、汽车维修市场管理，依法查处各种营运违章行为；负责全县运输车辆的综合性能检测和全县机动车辆二级维护与保养。</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9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09"/>
        <w:gridCol w:w="2256"/>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0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25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0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25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ascii="Calibri" w:hAnsi="Calibri" w:eastAsia="方正书宋_GBK" w:cs="Times New Roman"/>
              </w:rPr>
            </w:pPr>
            <w:r>
              <w:rPr>
                <w:rFonts w:hint="eastAsia" w:ascii="Calibri" w:hAnsi="Calibri" w:eastAsia="方正书宋_GBK" w:cs="Times New Roman"/>
              </w:rPr>
              <w:t>大厂回族自治县交通系统</w:t>
            </w:r>
          </w:p>
        </w:tc>
        <w:tc>
          <w:tcPr>
            <w:tcW w:w="2256" w:type="dxa"/>
            <w:shd w:val="clear" w:color="auto" w:fill="auto"/>
            <w:vAlign w:val="center"/>
          </w:tcPr>
          <w:p>
            <w:pPr>
              <w:spacing w:line="520" w:lineRule="exact"/>
              <w:jc w:val="center"/>
              <w:rPr>
                <w:rFonts w:ascii="Calibri" w:hAnsi="Calibri" w:eastAsia="方正书宋_GBK" w:cs="Times New Roman"/>
              </w:rPr>
            </w:pPr>
            <w:r>
              <w:rPr>
                <w:rFonts w:ascii="Calibri" w:hAnsi="Calibri" w:eastAsia="方正书宋_GBK" w:cs="Times New Roman"/>
              </w:rPr>
              <w:t>行政</w:t>
            </w:r>
            <w:r>
              <w:rPr>
                <w:rFonts w:hint="eastAsia" w:ascii="Calibri" w:hAnsi="Calibri" w:eastAsia="方正书宋_GBK" w:cs="Times New Roman"/>
              </w:rPr>
              <w:t>和事业</w:t>
            </w:r>
          </w:p>
        </w:tc>
        <w:tc>
          <w:tcPr>
            <w:tcW w:w="1276" w:type="dxa"/>
            <w:shd w:val="clear" w:color="auto" w:fill="auto"/>
            <w:vAlign w:val="center"/>
          </w:tcPr>
          <w:p>
            <w:pPr>
              <w:spacing w:line="520" w:lineRule="exact"/>
              <w:jc w:val="center"/>
              <w:rPr>
                <w:rFonts w:ascii="Calibri" w:hAnsi="Calibri" w:eastAsia="方正书宋_GBK" w:cs="Times New Roman"/>
              </w:rPr>
            </w:pPr>
            <w:r>
              <w:rPr>
                <w:rFonts w:ascii="Calibri" w:hAnsi="Calibri" w:eastAsia="方正书宋_GBK" w:cs="Times New Roman"/>
              </w:rPr>
              <w:t>正</w:t>
            </w:r>
            <w:r>
              <w:rPr>
                <w:rFonts w:hint="eastAsia" w:ascii="Calibri" w:hAnsi="Calibri" w:eastAsia="方正书宋_GBK" w:cs="Times New Roman"/>
              </w:rPr>
              <w:t>科</w:t>
            </w:r>
            <w:r>
              <w:rPr>
                <w:rFonts w:ascii="Calibri" w:hAnsi="Calibri" w:eastAsia="方正书宋_GBK" w:cs="Times New Roman"/>
              </w:rPr>
              <w:t>级</w:t>
            </w:r>
          </w:p>
        </w:tc>
        <w:tc>
          <w:tcPr>
            <w:tcW w:w="2902" w:type="dxa"/>
            <w:shd w:val="clear" w:color="auto" w:fill="auto"/>
            <w:vAlign w:val="center"/>
          </w:tcPr>
          <w:p>
            <w:pPr>
              <w:spacing w:line="520" w:lineRule="exact"/>
              <w:jc w:val="center"/>
              <w:rPr>
                <w:rFonts w:ascii="Calibri" w:hAnsi="Calibri" w:eastAsia="方正书宋_GBK" w:cs="Times New Roman"/>
              </w:rPr>
            </w:pPr>
            <w:r>
              <w:rPr>
                <w:rFonts w:hint="eastAsia" w:ascii="Calibri" w:hAnsi="Calibri" w:eastAsia="方正书宋_GBK" w:cs="Times New Roman"/>
              </w:rPr>
              <w:t>局机关属于</w:t>
            </w:r>
            <w:r>
              <w:rPr>
                <w:rFonts w:ascii="Calibri" w:hAnsi="Calibri" w:eastAsia="方正书宋_GBK" w:cs="Times New Roman"/>
              </w:rPr>
              <w:t>财政拨款</w:t>
            </w:r>
            <w:r>
              <w:rPr>
                <w:rFonts w:hint="eastAsia" w:ascii="Calibri" w:hAnsi="Calibri" w:eastAsia="方正书宋_GBK" w:cs="Times New Roman"/>
              </w:rPr>
              <w:t>、下属单位公路管理站、地方道路管理站、运输管理站属于自收自支</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大厂回族自治县交通系统</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13614.97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13614.97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13614.97</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大厂回族自治县交通系统</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13614.97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1330.15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47.85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12236.97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12236.97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2019年新改建工程项目支出和偿还历年工程欠款支出。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13614.97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5803.53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减少152.87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5956.40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公路建设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47.85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大厂回族自治县交通系统</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5.3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5.3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0.8</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减少0.06万元，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（一）完善路网格局，提升服务政府能力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年重点实施的县内主干道路新建及绿道建设工程：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、拟启动实施密涿高速公路梁家务互通连接线道路建设工程，在原密涿高速公路梁家务互通连接线（大厂段）两侧各新建</w:t>
      </w:r>
      <w:r>
        <w:rPr>
          <w:rFonts w:ascii="Times New Roman" w:hAnsi="Times New Roman" w:eastAsia="仿宋_GB2312" w:cs="Times New Roman"/>
          <w:sz w:val="32"/>
          <w:szCs w:val="32"/>
        </w:rPr>
        <w:t>4.55</w:t>
      </w:r>
      <w:r>
        <w:rPr>
          <w:rFonts w:hint="eastAsia" w:ascii="Times New Roman" w:hAnsi="Times New Roman" w:eastAsia="仿宋_GB2312" w:cs="Times New Roman"/>
          <w:sz w:val="32"/>
          <w:szCs w:val="32"/>
        </w:rPr>
        <w:t>米并行道路（含桥梁加宽），并完成该道路段全宽道路建设，路线全长</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千米。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、对密涿支线高速公路大厂连接线北段</w:t>
      </w:r>
      <w:r>
        <w:rPr>
          <w:rFonts w:ascii="Times New Roman" w:hAnsi="Times New Roman" w:eastAsia="仿宋_GB2312" w:cs="Times New Roman"/>
          <w:sz w:val="32"/>
          <w:szCs w:val="32"/>
        </w:rPr>
        <w:t>2.587</w:t>
      </w:r>
      <w:r>
        <w:rPr>
          <w:rFonts w:hint="eastAsia" w:ascii="Times New Roman" w:hAnsi="Times New Roman" w:eastAsia="仿宋_GB2312" w:cs="Times New Roman"/>
          <w:sz w:val="32"/>
          <w:szCs w:val="32"/>
        </w:rPr>
        <w:t>千米道路两侧栽种乔、灌木，进行绿化美化。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、对祁陈路东段</w:t>
      </w:r>
      <w:r>
        <w:rPr>
          <w:rFonts w:ascii="Times New Roman" w:hAnsi="Times New Roman" w:eastAsia="仿宋_GB2312" w:cs="Times New Roman"/>
          <w:sz w:val="32"/>
          <w:szCs w:val="32"/>
        </w:rPr>
        <w:t>6.533</w:t>
      </w:r>
      <w:r>
        <w:rPr>
          <w:rFonts w:hint="eastAsia" w:ascii="Times New Roman" w:hAnsi="Times New Roman" w:eastAsia="仿宋_GB2312" w:cs="Times New Roman"/>
          <w:sz w:val="32"/>
          <w:szCs w:val="32"/>
        </w:rPr>
        <w:t>千米道路两侧各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米范围内栽种乔、灌木，进行绿化美化。</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（二）优化路网功能，提升服务社能力</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丰富出行方式，提升服务群众能力。</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p>
    <w:p>
      <w:pPr>
        <w:spacing w:line="584" w:lineRule="exact"/>
        <w:jc w:val="center"/>
        <w:outlineLvl w:val="0"/>
        <w:rPr>
          <w:rFonts w:ascii="Times New Roman" w:hAnsi="Times New Roman" w:eastAsia="仿宋_GB2312" w:cs="Times New Roman"/>
          <w:b/>
          <w:sz w:val="32"/>
        </w:rPr>
      </w:pPr>
    </w:p>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大厂回族自治县交通系统</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9352.55</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按县政府规定权限审批、核准县规划内和年度计划规模内的固定资产投资项目，完成交通基础设施投资；对重点工程建设、工程质量和安全生产进行监管，对招投标活动进行监督管理。</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xml:space="preserve">普通干线公路在建里程19公里；县、乡道路新改建13公里；农村公路投资新改建32公里。 </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xml:space="preserve">建设工程质量合格率（%）；质监部门出具合格的建设工程数量占总建设数量的；农村公路大修工程质量合格的数量占养护工程总数的比率。 </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、普通国省干线公路建设、地方道路建设</w:t>
            </w:r>
          </w:p>
        </w:tc>
        <w:tc>
          <w:tcPr>
            <w:tcW w:w="12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2622.55</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对普通国省干线公路、地方道路主体及其附属设施、设备进行保养中修、大修、维护等。</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xml:space="preserve">完成全年普通干线公路19.2公里、地方道路大中修里程13公里。 </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年度普通干线公路、地方道路养护工程量完成率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年度普通干线公路、地方道路养护投资完成率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恢复设计功能（恢复率）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、公路客货运站（场）及城乡客运基础设施建设</w:t>
            </w:r>
          </w:p>
        </w:tc>
        <w:tc>
          <w:tcPr>
            <w:tcW w:w="1276" w:type="dxa"/>
            <w:vMerge w:val="restart"/>
            <w:shd w:val="clear" w:color="auto" w:fill="auto"/>
            <w:vAlign w:val="center"/>
          </w:tcPr>
          <w:p>
            <w:pPr>
              <w:spacing w:line="300" w:lineRule="exact"/>
              <w:jc w:val="left"/>
              <w:rPr>
                <w:rFonts w:ascii="方正书宋_GBK" w:eastAsia="方正书宋_GBK"/>
                <w:b/>
              </w:rPr>
            </w:pPr>
          </w:p>
        </w:tc>
        <w:tc>
          <w:tcPr>
            <w:tcW w:w="2976" w:type="dxa"/>
            <w:vMerge w:val="restart"/>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对全县道路旅客运输、货物运输、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旅客周转量、公路货物周转量达到预期要求。</w:t>
            </w:r>
          </w:p>
        </w:tc>
        <w:tc>
          <w:tcPr>
            <w:tcW w:w="141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年营业性客货运周转量目标完成率</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安全生产控制目标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超限超载率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、交通基础设施建设的协调、监督和管理</w:t>
            </w:r>
          </w:p>
        </w:tc>
        <w:tc>
          <w:tcPr>
            <w:tcW w:w="1276" w:type="dxa"/>
            <w:shd w:val="clear" w:color="auto" w:fill="auto"/>
            <w:vAlign w:val="center"/>
          </w:tcPr>
          <w:p>
            <w:pPr>
              <w:spacing w:line="300" w:lineRule="exact"/>
              <w:jc w:val="left"/>
              <w:rPr>
                <w:rFonts w:ascii="方正书宋_GBK" w:eastAsia="方正书宋_GBK"/>
                <w:b/>
              </w:rPr>
            </w:pPr>
          </w:p>
        </w:tc>
        <w:tc>
          <w:tcPr>
            <w:tcW w:w="2976"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监管全县公路、水路、地方铁路建设市场，对公路、水路、地方铁路等有关重点工程建设、工程质量和安全生产及行业招投标活动进行监督和管理，做好建设过程中的协调管理工作。</w:t>
            </w:r>
          </w:p>
        </w:tc>
        <w:tc>
          <w:tcPr>
            <w:tcW w:w="2976"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公路、水路建设市场运转有序，各项业务顺利开展，工作按时完成。</w:t>
            </w:r>
          </w:p>
        </w:tc>
        <w:tc>
          <w:tcPr>
            <w:tcW w:w="141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交通基础设施建设重点项目监督检查率</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、交通配套设施建设</w:t>
            </w:r>
          </w:p>
        </w:tc>
        <w:tc>
          <w:tcPr>
            <w:tcW w:w="12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6594.55</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其他与县级建设任务紧密相关的交通基础设施建设。</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新建出租车汽车综合服务区 个</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交通配套设施建设投资完成率</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交通配套设施工程量完成率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年度交通配套设施项目工程质量合格率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二、交通运输基础设施养护、维护</w:t>
            </w:r>
          </w:p>
        </w:tc>
        <w:tc>
          <w:tcPr>
            <w:tcW w:w="1276"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1371.32</w:t>
            </w:r>
          </w:p>
        </w:tc>
        <w:tc>
          <w:tcPr>
            <w:tcW w:w="2976"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组织交通运输基础设施养护、维护，对招投标活动进行监督管理。</w:t>
            </w:r>
          </w:p>
        </w:tc>
        <w:tc>
          <w:tcPr>
            <w:tcW w:w="2976"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普通国省干线公路大中修里程13.2公里；加固桥梁70延米；提升普通国省干线日常养护作业效率；对农村公路养护实施</w:t>
            </w:r>
            <w:r>
              <w:rPr>
                <w:rFonts w:hint="eastAsia" w:ascii="方正书宋_GBK" w:eastAsia="方正书宋_GBK"/>
                <w:b/>
                <w:cs/>
              </w:rPr>
              <w:t>“</w:t>
            </w:r>
            <w:r>
              <w:rPr>
                <w:rFonts w:hint="eastAsia" w:ascii="方正书宋_GBK" w:eastAsia="方正书宋_GBK"/>
                <w:b/>
              </w:rPr>
              <w:t>以奖代补</w:t>
            </w:r>
            <w:r>
              <w:rPr>
                <w:rFonts w:hint="eastAsia" w:ascii="方正书宋_GBK" w:eastAsia="方正书宋_GBK"/>
                <w:b/>
                <w:cs/>
              </w:rPr>
              <w:t>”</w:t>
            </w:r>
            <w:r>
              <w:rPr>
                <w:rFonts w:hint="eastAsia" w:ascii="方正书宋_GBK" w:eastAsia="方正书宋_GBK"/>
                <w:b/>
              </w:rPr>
              <w:t>；完善更新公路建设管理养护基础数据。</w:t>
            </w:r>
          </w:p>
        </w:tc>
        <w:tc>
          <w:tcPr>
            <w:tcW w:w="141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建设工程质量合格率（%）；质监部门出具合格的建设工程数量占总建设数量的。</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jc w:val="center"/>
              <w:rPr>
                <w:rFonts w:ascii="方正书宋_GBK" w:eastAsia="方正书宋_GBK"/>
                <w:b/>
              </w:rPr>
            </w:pPr>
          </w:p>
          <w:p>
            <w:pPr>
              <w:spacing w:line="300" w:lineRule="exact"/>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、普通国省干线公路养护、地方道路养护</w:t>
            </w:r>
          </w:p>
        </w:tc>
        <w:tc>
          <w:tcPr>
            <w:tcW w:w="12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1371.32</w:t>
            </w:r>
          </w:p>
        </w:tc>
        <w:tc>
          <w:tcPr>
            <w:tcW w:w="2976" w:type="dxa"/>
            <w:vMerge w:val="restart"/>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对普通国省干线公路、地方道路主体及其附属设施、设备进行保养中修、大修、维护等。</w:t>
            </w:r>
          </w:p>
        </w:tc>
        <w:tc>
          <w:tcPr>
            <w:tcW w:w="2976" w:type="dxa"/>
            <w:vMerge w:val="restart"/>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 xml:space="preserve">完成全年普通干线公路19.2公里、地方道路大中修里程13公里。 </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年度普通干线公路、地方道路养护工程量完成率</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rPr>
                <w:rFonts w:ascii="方正书宋_GBK" w:eastAsia="方正书宋_GBK"/>
                <w:b/>
              </w:rPr>
            </w:pPr>
          </w:p>
          <w:p>
            <w:pPr>
              <w:spacing w:line="300" w:lineRule="exact"/>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年度普通干线公路、地方道路养护投资完成率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恢复设计功能（恢复率）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公路技术状况指数</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、农村公路养护以奖代补</w:t>
            </w:r>
          </w:p>
        </w:tc>
        <w:tc>
          <w:tcPr>
            <w:tcW w:w="1276" w:type="dxa"/>
            <w:vMerge w:val="restart"/>
            <w:shd w:val="clear" w:color="auto" w:fill="auto"/>
            <w:vAlign w:val="center"/>
          </w:tcPr>
          <w:p>
            <w:pPr>
              <w:spacing w:line="300" w:lineRule="exact"/>
              <w:jc w:val="left"/>
              <w:rPr>
                <w:rFonts w:ascii="方正书宋_GBK" w:eastAsia="方正书宋_GBK"/>
                <w:b/>
              </w:rPr>
            </w:pP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通过以奖代补等形式对农村公路保养与维护进行资金补助，引导带动各地加强农村公路养护。</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恢复、提升农村公路原有技术指标，维护、完善交通工程、安全设施、服务管理等附属设施，保持良好的技术状况</w:t>
            </w:r>
            <w:r>
              <w:rPr>
                <w:rFonts w:ascii="方正书宋_GBK" w:eastAsia="方正书宋_GBK"/>
                <w:b/>
              </w:rPr>
              <w:t>.</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年度农村公路养护投资完成率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年度农村公路养护工程量完成率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、公路建设管理养护基础数据采集</w:t>
            </w:r>
          </w:p>
        </w:tc>
        <w:tc>
          <w:tcPr>
            <w:tcW w:w="1276" w:type="dxa"/>
            <w:vMerge w:val="restart"/>
            <w:shd w:val="clear" w:color="auto" w:fill="auto"/>
            <w:vAlign w:val="center"/>
          </w:tcPr>
          <w:p>
            <w:pPr>
              <w:spacing w:line="300" w:lineRule="exact"/>
              <w:jc w:val="left"/>
              <w:rPr>
                <w:rFonts w:ascii="方正书宋_GBK" w:eastAsia="方正书宋_GBK"/>
                <w:b/>
              </w:rPr>
            </w:pP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通过公路各项指标地理信息、数据采集及桥梁隧道检测、交通量调查等方式，适时采集相关数据并及时更新；管理维护设备及数据采集信息系统。</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按时、保质、保量完成数据采集分析，为公路管理提供依据和支持。</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公路基础信息数据更新率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公路基础信息数据使用率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、公路、水运工程养护监督和管理</w:t>
            </w:r>
          </w:p>
        </w:tc>
        <w:tc>
          <w:tcPr>
            <w:tcW w:w="1276" w:type="dxa"/>
            <w:vMerge w:val="restart"/>
            <w:shd w:val="clear" w:color="auto" w:fill="auto"/>
            <w:vAlign w:val="center"/>
          </w:tcPr>
          <w:p>
            <w:pPr>
              <w:spacing w:line="300" w:lineRule="exact"/>
              <w:jc w:val="left"/>
              <w:rPr>
                <w:rFonts w:ascii="方正书宋_GBK" w:eastAsia="方正书宋_GBK"/>
                <w:b/>
              </w:rPr>
            </w:pP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对公路、水运工程及其设施养护工程质量安全及招投标活动进行监督和管理。</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各项业务顺利开展，按时完成工作。</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项目质量</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工作质量</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三、交通运输管理</w:t>
            </w:r>
          </w:p>
        </w:tc>
        <w:tc>
          <w:tcPr>
            <w:tcW w:w="1276" w:type="dxa"/>
            <w:shd w:val="clear" w:color="auto" w:fill="auto"/>
            <w:vAlign w:val="center"/>
          </w:tcPr>
          <w:p>
            <w:pPr>
              <w:spacing w:line="300" w:lineRule="exact"/>
              <w:jc w:val="left"/>
              <w:rPr>
                <w:rFonts w:ascii="方正书宋_GBK" w:eastAsia="方正书宋_GBK"/>
                <w:b/>
              </w:rPr>
            </w:pPr>
            <w:r>
              <w:rPr>
                <w:rFonts w:ascii="方正书宋_GBK" w:eastAsia="方正书宋_GBK"/>
                <w:b/>
              </w:rPr>
              <w:t>1490.30</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承担全县综合运输体系的规划协调，会同有关部门组织编制全县综合运输体系规划，参与交通运输枢纽规划和管理。指导城乡客运及有关设施规划和管理，对全县公路及其设施的建设和养护进行管理，指导出租汽车行业管理工作。</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保障道路通畅，完成运输生产任务，确保安全生产，提高服务保障水平。按时完成</w:t>
            </w:r>
            <w:r>
              <w:rPr>
                <w:rFonts w:ascii="方正书宋_GBK" w:eastAsia="方正书宋_GBK"/>
                <w:b/>
              </w:rPr>
              <w:t>2016</w:t>
            </w:r>
            <w:r>
              <w:rPr>
                <w:rFonts w:hint="eastAsia" w:ascii="方正书宋_GBK" w:eastAsia="方正书宋_GBK"/>
                <w:b/>
              </w:rPr>
              <w:t>年全国公路水路统计抽样调查工作。</w:t>
            </w:r>
          </w:p>
        </w:tc>
        <w:tc>
          <w:tcPr>
            <w:tcW w:w="1417" w:type="dxa"/>
            <w:shd w:val="clear" w:color="auto" w:fill="auto"/>
            <w:vAlign w:val="center"/>
          </w:tcPr>
          <w:p>
            <w:pPr>
              <w:spacing w:line="300" w:lineRule="exact"/>
              <w:jc w:val="left"/>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、公路管理</w:t>
            </w:r>
          </w:p>
        </w:tc>
        <w:tc>
          <w:tcPr>
            <w:tcW w:w="1276" w:type="dxa"/>
            <w:vMerge w:val="restart"/>
            <w:shd w:val="clear" w:color="auto" w:fill="auto"/>
            <w:vAlign w:val="center"/>
          </w:tcPr>
          <w:p>
            <w:pPr>
              <w:spacing w:line="300" w:lineRule="exact"/>
              <w:jc w:val="left"/>
              <w:rPr>
                <w:rFonts w:ascii="方正书宋_GBK" w:eastAsia="方正书宋_GBK"/>
                <w:b/>
              </w:rPr>
            </w:pP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对公路建设、养护、运营及路政、治理超限超载进行管理。审批公路建设项目施工图并进行现场管理，审查国省一般干线公路建设的立项、可研，大中修，一般干线公路大中修项目。依法行使公路方面行政处罚权，对全县公路超限治理进行监督管理。</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提高公路等级水平，缓解繁忙路段交通压力；维护路产路权，治理超限运输，保障通行能力，提高服务水平</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超限超载率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&gt;2%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安全生产维稳控制目标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审批完成率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98%</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、道路运输管理</w:t>
            </w:r>
          </w:p>
        </w:tc>
        <w:tc>
          <w:tcPr>
            <w:tcW w:w="1276"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40.00</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对全县道路旅客运输、货物运输、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旅客周转量、公路货物周转量达到预期要求。</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年营业性客货运周转量目标完成率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方正书宋_GBK" w:eastAsia="方正书宋_GBK"/>
                <w:b/>
              </w:rPr>
              <w:t>安全生产控制目标</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p>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超限超载率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、城市客运管理</w:t>
            </w:r>
          </w:p>
        </w:tc>
        <w:tc>
          <w:tcPr>
            <w:tcW w:w="1276"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1450.30</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对全县客运（含公共汽电车、出租汽车、汽车租赁）进行行业管理。</w:t>
            </w:r>
          </w:p>
        </w:tc>
        <w:tc>
          <w:tcPr>
            <w:tcW w:w="2976"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客运管理业务顺利开展，按时完成工作。并保障行业安全稳与稳定。</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安全生产维稳控制目标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2976" w:type="dxa"/>
            <w:vMerge w:val="continue"/>
            <w:shd w:val="clear" w:color="auto" w:fill="auto"/>
            <w:vAlign w:val="center"/>
          </w:tcPr>
          <w:p>
            <w:pPr>
              <w:spacing w:line="300" w:lineRule="exact"/>
              <w:jc w:val="left"/>
              <w:rPr>
                <w:rFonts w:ascii="方正书宋_GBK" w:eastAsia="方正书宋_GBK"/>
                <w:b/>
              </w:rPr>
            </w:pP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乘客满意率</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≥85%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≥75%</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、交通运输统计及调查</w:t>
            </w:r>
          </w:p>
        </w:tc>
        <w:tc>
          <w:tcPr>
            <w:tcW w:w="1276" w:type="dxa"/>
            <w:shd w:val="clear" w:color="auto" w:fill="auto"/>
            <w:vAlign w:val="center"/>
          </w:tcPr>
          <w:p>
            <w:pPr>
              <w:spacing w:line="300" w:lineRule="exact"/>
              <w:jc w:val="left"/>
              <w:rPr>
                <w:rFonts w:ascii="方正书宋_GBK" w:eastAsia="方正书宋_GBK"/>
                <w:b/>
              </w:rPr>
            </w:pP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开展全县综合交通运输统计专项调查和研究，组织业务培训，统计、分析、评估、检测交通运输有关数据，发布相关信息。</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交通运输统计、调查业务顺利开展，按时完成工作，数据科学准确。</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工作完成率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95%</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w:t>
            </w:r>
            <w:r>
              <w:rPr>
                <w:rFonts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四、交通政务管理</w:t>
            </w:r>
          </w:p>
        </w:tc>
        <w:tc>
          <w:tcPr>
            <w:tcW w:w="12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1400.80</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负责交通运输综合交通运输体系建设，综合业务管理和综合事物管理。</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机动车维修与检测人员考试</w:t>
            </w:r>
            <w:r>
              <w:rPr>
                <w:rFonts w:ascii="方正书宋_GBK" w:eastAsia="方正书宋_GBK"/>
                <w:b/>
              </w:rPr>
              <w:t xml:space="preserve"> </w:t>
            </w:r>
            <w:r>
              <w:rPr>
                <w:rFonts w:hint="eastAsia" w:ascii="方正书宋_GBK" w:eastAsia="方正书宋_GBK"/>
                <w:b/>
              </w:rPr>
              <w:t>人次，信息管理系统正常运行，修订公路定额，应急事项处理及时，各项事务运行正常。</w:t>
            </w:r>
          </w:p>
        </w:tc>
        <w:tc>
          <w:tcPr>
            <w:tcW w:w="1417" w:type="dxa"/>
            <w:shd w:val="clear" w:color="auto" w:fill="auto"/>
            <w:vAlign w:val="center"/>
          </w:tcPr>
          <w:p>
            <w:pPr>
              <w:spacing w:line="300" w:lineRule="exact"/>
              <w:jc w:val="left"/>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c>
          <w:tcPr>
            <w:tcW w:w="737"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1400.80</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指导交通运输行业继续教育和中等专业技术教育，开展行业干部教育培训。指导行业体制改革、安全生产和应急管理等</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保障各项业务工作畅通</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综合业务保障率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80%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b/>
              </w:rPr>
            </w:pP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管理交通国有资产，筹措、管理、监督交通建设专项资金，开展基本建设项目绩效监督管理工作和行业内部审计工作，承担国防交通战备工作，指导行业交通公安工作及行业精神文明建设。</w:t>
            </w:r>
          </w:p>
        </w:tc>
        <w:tc>
          <w:tcPr>
            <w:tcW w:w="297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保障机关正常工作高效运转</w:t>
            </w:r>
          </w:p>
        </w:tc>
        <w:tc>
          <w:tcPr>
            <w:tcW w:w="141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综合事务保障率</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90%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80%</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70%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jc w:val="center"/>
        <w:outlineLvl w:val="0"/>
        <w:rPr>
          <w:rFonts w:ascii="Times New Roman" w:hAnsi="Times New Roman" w:eastAsia="仿宋_GB2312" w:cs="Times New Roman"/>
          <w:sz w:val="32"/>
        </w:rPr>
      </w:pPr>
      <w:bookmarkStart w:id="3" w:name="_Toc504489153"/>
    </w:p>
    <w:p>
      <w:pPr>
        <w:spacing w:line="584" w:lineRule="exact"/>
        <w:jc w:val="center"/>
        <w:outlineLvl w:val="0"/>
        <w:rPr>
          <w:rFonts w:ascii="Times New Roman" w:hAnsi="Times New Roman" w:eastAsia="仿宋_GB2312" w:cs="Times New Roman"/>
          <w:sz w:val="32"/>
          <w:szCs w:val="24"/>
        </w:rPr>
      </w:pPr>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2"/>
        <w:gridCol w:w="998"/>
        <w:gridCol w:w="880"/>
        <w:gridCol w:w="1295"/>
        <w:gridCol w:w="679"/>
        <w:gridCol w:w="699"/>
        <w:gridCol w:w="897"/>
        <w:gridCol w:w="902"/>
        <w:gridCol w:w="902"/>
        <w:gridCol w:w="902"/>
        <w:gridCol w:w="745"/>
        <w:gridCol w:w="872"/>
        <w:gridCol w:w="877"/>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廊坊市大厂回族自治县交通系统</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ind w:firstLine="640" w:firstLineChars="200"/>
        <w:outlineLvl w:val="0"/>
        <w:rPr>
          <w:rFonts w:ascii="Times New Roman" w:hAnsi="Times New Roman" w:eastAsia="仿宋_GB2312" w:cs="Times New Roman"/>
          <w:sz w:val="32"/>
          <w:szCs w:val="24"/>
        </w:rPr>
      </w:pPr>
    </w:p>
    <w:bookmarkEnd w:id="2"/>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大厂回族自治县交通系统</w:t>
      </w:r>
      <w:r>
        <w:rPr>
          <w:rFonts w:ascii="Times New Roman" w:hAnsi="Times New Roman" w:eastAsia="仿宋_GB2312" w:cs="Times New Roman"/>
          <w:sz w:val="32"/>
          <w:szCs w:val="32"/>
        </w:rPr>
        <w:t>上年末固定资产金额为</w:t>
      </w:r>
      <w:r>
        <w:rPr>
          <w:rFonts w:hint="eastAsia" w:ascii="仿宋_GB2312" w:hAnsi="黑体" w:eastAsia="仿宋_GB2312" w:cs="Times New Roman"/>
          <w:sz w:val="32"/>
          <w:szCs w:val="32"/>
        </w:rPr>
        <w:t>4288.042923</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大厂回族自治县交通系统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4288.042923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10105.94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1088.482923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6815.14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2929.241102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945.32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2254.24</w:t>
            </w:r>
          </w:p>
        </w:tc>
      </w:tr>
    </w:tbl>
    <w:p>
      <w:pPr>
        <w:autoSpaceDE w:val="0"/>
        <w:autoSpaceDN w:val="0"/>
        <w:adjustRightInd w:val="0"/>
        <w:spacing w:line="584" w:lineRule="exact"/>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2BDD"/>
    <w:rsid w:val="000053CC"/>
    <w:rsid w:val="00027F6B"/>
    <w:rsid w:val="00037AF6"/>
    <w:rsid w:val="000410F2"/>
    <w:rsid w:val="0004565F"/>
    <w:rsid w:val="000560D5"/>
    <w:rsid w:val="00072187"/>
    <w:rsid w:val="00075D5F"/>
    <w:rsid w:val="0008180F"/>
    <w:rsid w:val="00093DA3"/>
    <w:rsid w:val="00093DED"/>
    <w:rsid w:val="000B02A3"/>
    <w:rsid w:val="000B529B"/>
    <w:rsid w:val="000C24E6"/>
    <w:rsid w:val="000C3A19"/>
    <w:rsid w:val="000E05B9"/>
    <w:rsid w:val="000E3C64"/>
    <w:rsid w:val="000E4305"/>
    <w:rsid w:val="000F0D09"/>
    <w:rsid w:val="00112267"/>
    <w:rsid w:val="001245BB"/>
    <w:rsid w:val="001251A3"/>
    <w:rsid w:val="00146B11"/>
    <w:rsid w:val="0015229A"/>
    <w:rsid w:val="00153035"/>
    <w:rsid w:val="00160266"/>
    <w:rsid w:val="001643E8"/>
    <w:rsid w:val="00176C13"/>
    <w:rsid w:val="001919C4"/>
    <w:rsid w:val="0019723B"/>
    <w:rsid w:val="001A0943"/>
    <w:rsid w:val="001B5C1D"/>
    <w:rsid w:val="001B5D43"/>
    <w:rsid w:val="001C7E41"/>
    <w:rsid w:val="001D548E"/>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381C"/>
    <w:rsid w:val="0030542C"/>
    <w:rsid w:val="00311B7A"/>
    <w:rsid w:val="003126B6"/>
    <w:rsid w:val="00313D9C"/>
    <w:rsid w:val="00325215"/>
    <w:rsid w:val="0033339C"/>
    <w:rsid w:val="00335660"/>
    <w:rsid w:val="003B2C14"/>
    <w:rsid w:val="003B6D37"/>
    <w:rsid w:val="00414BD3"/>
    <w:rsid w:val="00424943"/>
    <w:rsid w:val="0042727E"/>
    <w:rsid w:val="0043175C"/>
    <w:rsid w:val="00437296"/>
    <w:rsid w:val="00451590"/>
    <w:rsid w:val="00451871"/>
    <w:rsid w:val="004706DE"/>
    <w:rsid w:val="00472923"/>
    <w:rsid w:val="00486DCD"/>
    <w:rsid w:val="0049120C"/>
    <w:rsid w:val="004B0C3A"/>
    <w:rsid w:val="004B6804"/>
    <w:rsid w:val="004C49A8"/>
    <w:rsid w:val="004D5788"/>
    <w:rsid w:val="004E3066"/>
    <w:rsid w:val="004E419C"/>
    <w:rsid w:val="004E74CD"/>
    <w:rsid w:val="00510E02"/>
    <w:rsid w:val="00524EFD"/>
    <w:rsid w:val="005564AB"/>
    <w:rsid w:val="00572067"/>
    <w:rsid w:val="00573562"/>
    <w:rsid w:val="005867F0"/>
    <w:rsid w:val="00590ECE"/>
    <w:rsid w:val="005C0E90"/>
    <w:rsid w:val="005D0C27"/>
    <w:rsid w:val="005D1094"/>
    <w:rsid w:val="005D37CA"/>
    <w:rsid w:val="005F1DD0"/>
    <w:rsid w:val="005F2454"/>
    <w:rsid w:val="005F5714"/>
    <w:rsid w:val="005F7AE1"/>
    <w:rsid w:val="00611D03"/>
    <w:rsid w:val="00614A29"/>
    <w:rsid w:val="00651BA2"/>
    <w:rsid w:val="00673D76"/>
    <w:rsid w:val="006854F0"/>
    <w:rsid w:val="006B1C4A"/>
    <w:rsid w:val="006B610D"/>
    <w:rsid w:val="006C206A"/>
    <w:rsid w:val="006D5699"/>
    <w:rsid w:val="006E49F5"/>
    <w:rsid w:val="006F187E"/>
    <w:rsid w:val="006F5EE1"/>
    <w:rsid w:val="007013C8"/>
    <w:rsid w:val="00727C84"/>
    <w:rsid w:val="0074338E"/>
    <w:rsid w:val="00744E9B"/>
    <w:rsid w:val="00753836"/>
    <w:rsid w:val="0075393C"/>
    <w:rsid w:val="007544F2"/>
    <w:rsid w:val="00754592"/>
    <w:rsid w:val="00776C08"/>
    <w:rsid w:val="00783F5B"/>
    <w:rsid w:val="00790ABF"/>
    <w:rsid w:val="007B49AA"/>
    <w:rsid w:val="007B70BB"/>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0934"/>
    <w:rsid w:val="008A6576"/>
    <w:rsid w:val="008B3CC5"/>
    <w:rsid w:val="008B52CD"/>
    <w:rsid w:val="008C7C4D"/>
    <w:rsid w:val="008E4261"/>
    <w:rsid w:val="008E70D4"/>
    <w:rsid w:val="008F4662"/>
    <w:rsid w:val="0090563F"/>
    <w:rsid w:val="009057B7"/>
    <w:rsid w:val="00905D08"/>
    <w:rsid w:val="00910706"/>
    <w:rsid w:val="00925753"/>
    <w:rsid w:val="00926B58"/>
    <w:rsid w:val="00937F8B"/>
    <w:rsid w:val="009425F4"/>
    <w:rsid w:val="00943BD8"/>
    <w:rsid w:val="00954B2C"/>
    <w:rsid w:val="00966C5C"/>
    <w:rsid w:val="00973104"/>
    <w:rsid w:val="009842F6"/>
    <w:rsid w:val="00995BF0"/>
    <w:rsid w:val="009A16D5"/>
    <w:rsid w:val="009A178A"/>
    <w:rsid w:val="009A353D"/>
    <w:rsid w:val="009A35D3"/>
    <w:rsid w:val="009B0B77"/>
    <w:rsid w:val="009B511E"/>
    <w:rsid w:val="009B5215"/>
    <w:rsid w:val="009C6C86"/>
    <w:rsid w:val="009D37D3"/>
    <w:rsid w:val="00A01D08"/>
    <w:rsid w:val="00A05D9F"/>
    <w:rsid w:val="00A13B0C"/>
    <w:rsid w:val="00A16E6C"/>
    <w:rsid w:val="00A40F60"/>
    <w:rsid w:val="00A44E3D"/>
    <w:rsid w:val="00A72D2E"/>
    <w:rsid w:val="00A74447"/>
    <w:rsid w:val="00A74CE5"/>
    <w:rsid w:val="00A77500"/>
    <w:rsid w:val="00A8536F"/>
    <w:rsid w:val="00A911E7"/>
    <w:rsid w:val="00A939D9"/>
    <w:rsid w:val="00AB2F8B"/>
    <w:rsid w:val="00AB77AA"/>
    <w:rsid w:val="00AC4748"/>
    <w:rsid w:val="00AD5259"/>
    <w:rsid w:val="00B01D36"/>
    <w:rsid w:val="00B078CD"/>
    <w:rsid w:val="00B20712"/>
    <w:rsid w:val="00B34DD6"/>
    <w:rsid w:val="00B40832"/>
    <w:rsid w:val="00B43238"/>
    <w:rsid w:val="00B45DD3"/>
    <w:rsid w:val="00B54B90"/>
    <w:rsid w:val="00B64FA8"/>
    <w:rsid w:val="00B73582"/>
    <w:rsid w:val="00B75216"/>
    <w:rsid w:val="00B755A2"/>
    <w:rsid w:val="00B9104C"/>
    <w:rsid w:val="00B91D52"/>
    <w:rsid w:val="00B9490F"/>
    <w:rsid w:val="00BA1ACD"/>
    <w:rsid w:val="00BD09F8"/>
    <w:rsid w:val="00BD4A00"/>
    <w:rsid w:val="00C005B2"/>
    <w:rsid w:val="00C1565C"/>
    <w:rsid w:val="00C21E0F"/>
    <w:rsid w:val="00C362CA"/>
    <w:rsid w:val="00C7168D"/>
    <w:rsid w:val="00C772C1"/>
    <w:rsid w:val="00CA7176"/>
    <w:rsid w:val="00CB51D7"/>
    <w:rsid w:val="00CC75B0"/>
    <w:rsid w:val="00CD2773"/>
    <w:rsid w:val="00CE01BA"/>
    <w:rsid w:val="00CE143B"/>
    <w:rsid w:val="00CE3A91"/>
    <w:rsid w:val="00D07DBA"/>
    <w:rsid w:val="00D23C16"/>
    <w:rsid w:val="00D27003"/>
    <w:rsid w:val="00D324AD"/>
    <w:rsid w:val="00D60E83"/>
    <w:rsid w:val="00D9307A"/>
    <w:rsid w:val="00DB4322"/>
    <w:rsid w:val="00DD1D0C"/>
    <w:rsid w:val="00DE186D"/>
    <w:rsid w:val="00E05F71"/>
    <w:rsid w:val="00E167C7"/>
    <w:rsid w:val="00E440CF"/>
    <w:rsid w:val="00E55B78"/>
    <w:rsid w:val="00E76361"/>
    <w:rsid w:val="00E84020"/>
    <w:rsid w:val="00EB7A80"/>
    <w:rsid w:val="00EC47F6"/>
    <w:rsid w:val="00EE6D6D"/>
    <w:rsid w:val="00EF08C9"/>
    <w:rsid w:val="00EF2F70"/>
    <w:rsid w:val="00EF535E"/>
    <w:rsid w:val="00F471F7"/>
    <w:rsid w:val="00F548BB"/>
    <w:rsid w:val="00F66032"/>
    <w:rsid w:val="00F83B96"/>
    <w:rsid w:val="00F8441D"/>
    <w:rsid w:val="00F87C1E"/>
    <w:rsid w:val="00F958C2"/>
    <w:rsid w:val="00FA740E"/>
    <w:rsid w:val="00FC06C7"/>
    <w:rsid w:val="00FC2AE5"/>
    <w:rsid w:val="00FD5DB4"/>
    <w:rsid w:val="00FE1724"/>
    <w:rsid w:val="00FE753C"/>
    <w:rsid w:val="00FF2346"/>
    <w:rsid w:val="0DA414B9"/>
    <w:rsid w:val="43CE6F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正文文本缩进1"/>
    <w:basedOn w:val="1"/>
    <w:uiPriority w:val="0"/>
    <w:pPr>
      <w:widowControl/>
      <w:ind w:firstLine="780"/>
    </w:pPr>
    <w:rPr>
      <w:rFonts w:ascii="Times New Roman" w:hAnsi="Times New Roman" w:eastAsia="Times New Roman" w:cs="Times New Roman"/>
      <w:kern w:val="0"/>
      <w:sz w:val="32"/>
      <w:szCs w:val="20"/>
      <w:lang w:eastAsia="en-US"/>
    </w:rPr>
  </w:style>
  <w:style w:type="paragraph" w:customStyle="1" w:styleId="17">
    <w:name w:val="列出段落1"/>
    <w:basedOn w:val="1"/>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36A7B-ACB3-4447-B7DC-C6D947CBD0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892</Words>
  <Characters>5089</Characters>
  <Lines>42</Lines>
  <Paragraphs>11</Paragraphs>
  <TotalTime>2</TotalTime>
  <ScaleCrop>false</ScaleCrop>
  <LinksUpToDate>false</LinksUpToDate>
  <CharactersWithSpaces>5970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Administrator</cp:lastModifiedBy>
  <cp:lastPrinted>2019-02-28T06:33:00Z</cp:lastPrinted>
  <dcterms:modified xsi:type="dcterms:W3CDTF">2023-12-28T06:04:59Z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